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A01A98" w14:paraId="6CEE5423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70546CA9" w14:textId="77777777" w:rsidR="00DE0E1A" w:rsidRPr="00A01A98" w:rsidRDefault="00DE0E1A" w:rsidP="00EC4EFA">
            <w:pPr>
              <w:jc w:val="center"/>
              <w:rPr>
                <w:rFonts w:asciiTheme="majorHAnsi" w:hAnsiTheme="majorHAnsi" w:cstheme="maj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D992E4" w14:textId="77777777" w:rsidR="00DE0E1A" w:rsidRPr="00A01A98" w:rsidRDefault="00DE0E1A" w:rsidP="00E63CDE">
            <w:pPr>
              <w:jc w:val="center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  <w:r w:rsidRPr="00A01A98">
              <w:rPr>
                <w:rFonts w:asciiTheme="majorHAnsi" w:hAnsiTheme="majorHAnsi" w:cstheme="maj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2E52CA3" w14:textId="77777777" w:rsidR="00DE0E1A" w:rsidRPr="00A01A98" w:rsidRDefault="00DE0E1A" w:rsidP="00EC4EFA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DE0E1A" w:rsidRPr="00A01A98" w14:paraId="6BEB58A5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E1EA446" w14:textId="77777777" w:rsidR="00DE0E1A" w:rsidRPr="00A01A98" w:rsidRDefault="00DE0E1A" w:rsidP="00EC4EFA">
            <w:pPr>
              <w:pStyle w:val="Corpsdetexte3"/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76"/>
              <w:gridCol w:w="2859"/>
            </w:tblGrid>
            <w:tr w:rsidR="00DE0E1A" w:rsidRPr="00A01A98" w14:paraId="2CE1B046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890D816" w14:textId="77777777" w:rsidR="00DE0E1A" w:rsidRPr="00A01A98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01A98">
                    <w:rPr>
                      <w:rFonts w:asciiTheme="majorHAnsi" w:hAnsiTheme="majorHAnsi" w:cstheme="majorHAnsi"/>
                      <w:noProof/>
                    </w:rPr>
                    <w:drawing>
                      <wp:inline distT="0" distB="0" distL="0" distR="0" wp14:anchorId="4F07CA92" wp14:editId="78F331EE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1A98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7BEA8D8" w14:textId="1995A9AD" w:rsidR="00DE0E1A" w:rsidRPr="00B27AB7" w:rsidRDefault="00B27AB7" w:rsidP="00EC4EFA">
                  <w:pPr>
                    <w:spacing w:line="240" w:lineRule="atLeast"/>
                    <w:ind w:left="213" w:hanging="213"/>
                    <w:rPr>
                      <w:rFonts w:asciiTheme="majorHAnsi" w:hAnsiTheme="majorHAnsi" w:cstheme="majorHAnsi"/>
                      <w:kern w:val="16"/>
                      <w:sz w:val="20"/>
                      <w:szCs w:val="20"/>
                    </w:rPr>
                  </w:pPr>
                  <w:r w:rsidRPr="00B27AB7">
                    <w:rPr>
                      <w:rFonts w:asciiTheme="majorHAnsi" w:hAnsiTheme="majorHAnsi" w:cstheme="majorHAnsi"/>
                      <w:b/>
                      <w:kern w:val="16"/>
                      <w:sz w:val="20"/>
                      <w:szCs w:val="20"/>
                    </w:rPr>
                    <w:t xml:space="preserve">Pôle Reconquête de la Sécurité sociale </w:t>
                  </w:r>
                </w:p>
                <w:p w14:paraId="6860530A" w14:textId="1C2B5223" w:rsidR="00DE0E1A" w:rsidRPr="00B27AB7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kern w:val="16"/>
                      <w:sz w:val="20"/>
                    </w:rPr>
                  </w:pP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 xml:space="preserve">Espace </w:t>
                  </w:r>
                  <w:r w:rsidR="00B27AB7"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>Revendicatif</w:t>
                  </w: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 xml:space="preserve"> </w:t>
                  </w:r>
                </w:p>
                <w:p w14:paraId="0F98A671" w14:textId="246ACB29" w:rsidR="00DE0E1A" w:rsidRPr="00B27AB7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kern w:val="16"/>
                      <w:sz w:val="20"/>
                    </w:rPr>
                  </w:pP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 xml:space="preserve">263, rue de Paris </w:t>
                  </w:r>
                </w:p>
                <w:p w14:paraId="6E35F1B9" w14:textId="77777777" w:rsidR="00DE0E1A" w:rsidRPr="00A01A98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sz w:val="20"/>
                      <w:highlight w:val="yellow"/>
                    </w:rPr>
                  </w:pP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6873AA6" w14:textId="7556CE91" w:rsidR="00DE0E1A" w:rsidRPr="00A01A98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kern w:val="16"/>
                      <w:sz w:val="20"/>
                      <w:highlight w:val="yellow"/>
                    </w:rPr>
                  </w:pP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>Tél : 0</w:t>
                  </w:r>
                  <w:r w:rsidR="00B27AB7"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>6</w:t>
                  </w:r>
                  <w:r w:rsid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>. 80.61.95.76</w:t>
                  </w:r>
                </w:p>
              </w:tc>
            </w:tr>
            <w:tr w:rsidR="00DE0E1A" w:rsidRPr="00A01A98" w14:paraId="0B35E6A4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69342938" w14:textId="77777777" w:rsidR="00DE0E1A" w:rsidRPr="00A01A98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111E479A" w14:textId="7167FD51" w:rsidR="00DE0E1A" w:rsidRPr="00B27AB7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kern w:val="16"/>
                      <w:sz w:val="20"/>
                    </w:rPr>
                  </w:pP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 xml:space="preserve">Courriel : </w:t>
                  </w:r>
                  <w:r w:rsidR="00B27AB7"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>f.clamens@cgt.fr</w:t>
                  </w:r>
                </w:p>
                <w:p w14:paraId="51AD94E5" w14:textId="0D7554F6" w:rsidR="00DE0E1A" w:rsidRPr="00A01A98" w:rsidRDefault="00DE0E1A" w:rsidP="00EC4EFA">
                  <w:pPr>
                    <w:pStyle w:val="Corpsdetexte3"/>
                    <w:rPr>
                      <w:rFonts w:asciiTheme="majorHAnsi" w:hAnsiTheme="majorHAnsi" w:cstheme="majorHAnsi"/>
                      <w:sz w:val="20"/>
                      <w:highlight w:val="yellow"/>
                    </w:rPr>
                  </w:pPr>
                  <w:r w:rsidRPr="00B27AB7">
                    <w:rPr>
                      <w:rFonts w:asciiTheme="majorHAnsi" w:hAnsiTheme="majorHAnsi" w:cstheme="majorHAnsi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="00B27AB7" w:rsidRPr="00D13585">
                      <w:rPr>
                        <w:rStyle w:val="Lienhypertexte"/>
                        <w:rFonts w:asciiTheme="majorHAnsi" w:hAnsiTheme="majorHAnsi" w:cstheme="majorHAnsi"/>
                        <w:kern w:val="16"/>
                        <w:sz w:val="20"/>
                      </w:rPr>
                      <w:t>https://analyses-propositions.cgt.fr/sante-secu</w:t>
                    </w:r>
                  </w:hyperlink>
                </w:p>
              </w:tc>
            </w:tr>
          </w:tbl>
          <w:p w14:paraId="2DDDE610" w14:textId="77777777" w:rsidR="00DE0E1A" w:rsidRPr="00A01A98" w:rsidRDefault="00DE0E1A" w:rsidP="00EC4E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F1D7F5" w14:textId="77777777" w:rsidR="003D4B7F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D4B7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Formation </w:t>
            </w:r>
            <w:r w:rsidR="00A01A98" w:rsidRPr="003D4B7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Protection sociale et Sécurité sociale, </w:t>
            </w:r>
          </w:p>
          <w:p w14:paraId="34CFCE67" w14:textId="41F6D5CE" w:rsidR="00DE0E1A" w:rsidRPr="003D4B7F" w:rsidRDefault="00A01A98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3D4B7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vers la reconquête de la sécurité sociale </w:t>
            </w:r>
          </w:p>
          <w:p w14:paraId="232E100C" w14:textId="77777777" w:rsidR="00DE0E1A" w:rsidRPr="00A01A98" w:rsidRDefault="00DE0E1A" w:rsidP="00EC4EFA">
            <w:pPr>
              <w:rPr>
                <w:rFonts w:asciiTheme="majorHAnsi" w:hAnsiTheme="majorHAnsi" w:cstheme="majorHAnsi"/>
              </w:rPr>
            </w:pPr>
          </w:p>
          <w:p w14:paraId="392A72E7" w14:textId="77777777" w:rsidR="00DE0E1A" w:rsidRPr="00A01A98" w:rsidRDefault="00DE0E1A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</w:t>
            </w:r>
            <w:r w:rsidR="00B62873"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ublic</w:t>
            </w: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 :</w:t>
            </w:r>
          </w:p>
          <w:p w14:paraId="38731337" w14:textId="4A193AF6" w:rsidR="00A55FC2" w:rsidRPr="00A01A98" w:rsidRDefault="00A55FC2" w:rsidP="00A55FC2">
            <w:pPr>
              <w:rPr>
                <w:rFonts w:asciiTheme="majorHAnsi" w:hAnsiTheme="majorHAnsi" w:cstheme="majorHAnsi"/>
              </w:rPr>
            </w:pPr>
            <w:r w:rsidRPr="00A01A98">
              <w:rPr>
                <w:rFonts w:asciiTheme="majorHAnsi" w:hAnsiTheme="majorHAnsi" w:cstheme="majorHAnsi"/>
              </w:rPr>
              <w:t>Des militants investis sur les questions de Protection sociale et Sécurité sociale</w:t>
            </w:r>
            <w:r w:rsidR="00A01A98" w:rsidRPr="00A01A98">
              <w:rPr>
                <w:rFonts w:asciiTheme="majorHAnsi" w:hAnsiTheme="majorHAnsi" w:cstheme="majorHAnsi"/>
              </w:rPr>
              <w:t>,</w:t>
            </w:r>
            <w:r w:rsidRPr="00A01A98">
              <w:rPr>
                <w:rFonts w:asciiTheme="majorHAnsi" w:hAnsiTheme="majorHAnsi" w:cstheme="majorHAnsi"/>
              </w:rPr>
              <w:t xml:space="preserve"> ayant l’envie de porter des actions de reconquête de la Sécurité sociale sur le territoire</w:t>
            </w:r>
            <w:r w:rsidR="00A01A98" w:rsidRPr="00A01A98">
              <w:rPr>
                <w:rFonts w:asciiTheme="majorHAnsi" w:hAnsiTheme="majorHAnsi" w:cstheme="majorHAnsi"/>
              </w:rPr>
              <w:t xml:space="preserve"> et qui pourraient prendre </w:t>
            </w:r>
            <w:r w:rsidR="00BF2D5B" w:rsidRPr="00A01A98">
              <w:rPr>
                <w:rFonts w:asciiTheme="majorHAnsi" w:hAnsiTheme="majorHAnsi" w:cstheme="majorHAnsi"/>
              </w:rPr>
              <w:t>des responsabilités</w:t>
            </w:r>
            <w:r w:rsidR="00A01A98" w:rsidRPr="00A01A98">
              <w:rPr>
                <w:rFonts w:asciiTheme="majorHAnsi" w:hAnsiTheme="majorHAnsi" w:cstheme="majorHAnsi"/>
              </w:rPr>
              <w:t xml:space="preserve"> dans le champ. </w:t>
            </w:r>
          </w:p>
          <w:p w14:paraId="4C61CEBA" w14:textId="77777777" w:rsidR="00DE0E1A" w:rsidRPr="00A01A98" w:rsidRDefault="00DE0E1A" w:rsidP="004637CD">
            <w:pPr>
              <w:pStyle w:val="Corpsdetexte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4499AC" w14:textId="77777777" w:rsidR="00DE0E1A" w:rsidRDefault="00DE0E1A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5C84F19" w14:textId="78834851" w:rsidR="00927D8B" w:rsidRPr="000B31CA" w:rsidRDefault="008C5BE4" w:rsidP="004637C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B31CA">
              <w:rPr>
                <w:rFonts w:asciiTheme="majorHAnsi" w:hAnsiTheme="majorHAnsi" w:cstheme="majorHAnsi"/>
                <w:color w:val="000000" w:themeColor="text1"/>
              </w:rPr>
              <w:t>La Sécurité Sociale, véritable conquis démocratique de la classe ouvrière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 xml:space="preserve"> mis en place 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grâce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 xml:space="preserve"> à la CGT</w:t>
            </w:r>
            <w:r w:rsidRPr="000B31CA">
              <w:rPr>
                <w:rFonts w:asciiTheme="majorHAnsi" w:hAnsiTheme="majorHAnsi" w:cstheme="majorHAnsi"/>
                <w:color w:val="000000" w:themeColor="text1"/>
              </w:rPr>
              <w:t xml:space="preserve"> est 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depuis des années</w:t>
            </w:r>
            <w:r w:rsidRPr="000B31CA">
              <w:rPr>
                <w:rFonts w:asciiTheme="majorHAnsi" w:hAnsiTheme="majorHAnsi" w:cstheme="majorHAnsi"/>
                <w:color w:val="000000" w:themeColor="text1"/>
              </w:rPr>
              <w:t xml:space="preserve"> attaquée de toute part et en passe de changements profonds imposés par le 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gouvernement et le patronat</w:t>
            </w:r>
            <w:r w:rsidRPr="000B31CA">
              <w:rPr>
                <w:rFonts w:asciiTheme="majorHAnsi" w:hAnsiTheme="majorHAnsi" w:cstheme="majorHAnsi"/>
                <w:color w:val="000000" w:themeColor="text1"/>
              </w:rPr>
              <w:t xml:space="preserve">. La 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>reconquête de notre système de sécurité sociale,</w:t>
            </w:r>
            <w:r w:rsidRPr="000B31CA">
              <w:rPr>
                <w:rFonts w:asciiTheme="majorHAnsi" w:hAnsiTheme="majorHAnsi" w:cstheme="majorHAnsi"/>
                <w:color w:val="000000" w:themeColor="text1"/>
              </w:rPr>
              <w:t xml:space="preserve"> que porte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 xml:space="preserve"> la CGT doit devenir l’enjeu de tous les militant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.e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>s et salarié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.e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>s partout sur le territoire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. L’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>objectif premier de cette formation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 xml:space="preserve"> est d’« outiller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 xml:space="preserve"> les militants 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>pour</w:t>
            </w:r>
            <w:r w:rsidR="0058328F" w:rsidRPr="000B31CA">
              <w:rPr>
                <w:rFonts w:asciiTheme="majorHAnsi" w:hAnsiTheme="majorHAnsi" w:cstheme="majorHAnsi"/>
                <w:color w:val="000000" w:themeColor="text1"/>
              </w:rPr>
              <w:t xml:space="preserve"> mener des actions</w:t>
            </w:r>
            <w:r w:rsidR="00927D8B" w:rsidRPr="000B31C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B31CA" w:rsidRPr="000B31CA">
              <w:rPr>
                <w:rFonts w:asciiTheme="majorHAnsi" w:hAnsiTheme="majorHAnsi" w:cstheme="majorHAnsi"/>
                <w:color w:val="000000" w:themeColor="text1"/>
              </w:rPr>
              <w:t xml:space="preserve">servant la reconquête de ma Sécurité sociale. </w:t>
            </w:r>
            <w:r w:rsidR="00927D8B" w:rsidRPr="000B31CA">
              <w:rPr>
                <w:rFonts w:asciiTheme="majorHAnsi" w:hAnsiTheme="majorHAnsi" w:cstheme="majorHAnsi"/>
                <w:color w:val="000000" w:themeColor="text1"/>
              </w:rPr>
              <w:t xml:space="preserve">Elle a pour but de développer les capacités nécessaires de nos </w:t>
            </w:r>
            <w:r w:rsidR="00ED3E4A" w:rsidRPr="000B31CA">
              <w:rPr>
                <w:rFonts w:asciiTheme="majorHAnsi" w:hAnsiTheme="majorHAnsi" w:cstheme="majorHAnsi"/>
                <w:color w:val="000000" w:themeColor="text1"/>
              </w:rPr>
              <w:t>camarades</w:t>
            </w:r>
            <w:r w:rsidR="00927D8B" w:rsidRPr="000B31CA">
              <w:rPr>
                <w:rFonts w:asciiTheme="majorHAnsi" w:hAnsiTheme="majorHAnsi" w:cstheme="majorHAnsi"/>
                <w:color w:val="000000" w:themeColor="text1"/>
              </w:rPr>
              <w:t xml:space="preserve"> pour </w:t>
            </w:r>
            <w:r w:rsidR="00ED3E4A" w:rsidRPr="000B31CA">
              <w:rPr>
                <w:rFonts w:asciiTheme="majorHAnsi" w:hAnsiTheme="majorHAnsi" w:cstheme="majorHAnsi"/>
                <w:color w:val="000000" w:themeColor="text1"/>
              </w:rPr>
              <w:t>qu’elles et ils soient à même d’animer</w:t>
            </w:r>
            <w:r w:rsidR="00A55FC2" w:rsidRPr="000B31CA">
              <w:rPr>
                <w:rFonts w:asciiTheme="majorHAnsi" w:hAnsiTheme="majorHAnsi" w:cstheme="majorHAnsi"/>
                <w:color w:val="000000" w:themeColor="text1"/>
              </w:rPr>
              <w:t>, de construire ou</w:t>
            </w:r>
            <w:r w:rsidR="00ED3E4A" w:rsidRPr="000B31CA">
              <w:rPr>
                <w:rFonts w:asciiTheme="majorHAnsi" w:hAnsiTheme="majorHAnsi" w:cstheme="majorHAnsi"/>
                <w:color w:val="000000" w:themeColor="text1"/>
              </w:rPr>
              <w:t xml:space="preserve"> d’intervenir</w:t>
            </w:r>
            <w:r w:rsidR="00927D8B" w:rsidRPr="000B31C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5FC2" w:rsidRPr="000B31CA">
              <w:rPr>
                <w:rFonts w:asciiTheme="majorHAnsi" w:hAnsiTheme="majorHAnsi" w:cstheme="majorHAnsi"/>
                <w:color w:val="000000" w:themeColor="text1"/>
              </w:rPr>
              <w:t xml:space="preserve">dans des actions de reconquête de la Sécurité sociale. </w:t>
            </w:r>
          </w:p>
          <w:p w14:paraId="508F5656" w14:textId="77777777" w:rsidR="00DE0E1A" w:rsidRPr="00A01A98" w:rsidRDefault="00DE0E1A" w:rsidP="004637CD">
            <w:pPr>
              <w:pStyle w:val="Corpsdetexte3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EFFC6F" w14:textId="0F34FB2B" w:rsidR="00DE0E1A" w:rsidRDefault="00DE0E1A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Les objectifs de formation :</w:t>
            </w:r>
          </w:p>
          <w:p w14:paraId="7D1CD4D2" w14:textId="77777777" w:rsidR="00BF2D5B" w:rsidRPr="00BF2D5B" w:rsidRDefault="00A01A98" w:rsidP="00BF2D5B">
            <w:pPr>
              <w:pStyle w:val="Titre1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BF2D5B">
              <w:rPr>
                <w:rFonts w:asciiTheme="majorHAnsi" w:hAnsiTheme="majorHAnsi" w:cstheme="majorHAnsi"/>
                <w:b w:val="0"/>
                <w:bCs/>
                <w:color w:val="000000" w:themeColor="text1"/>
                <w:sz w:val="24"/>
                <w:szCs w:val="24"/>
              </w:rPr>
              <w:t xml:space="preserve">Comprendre le système de Protection sociale et les différentes logiques politiques et économiques qui le traversent, et notamment la place de la Sécurité sociale en son sein. </w:t>
            </w:r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Comprendre et déconstruire les réformes néolibérales en cours. </w:t>
            </w:r>
          </w:p>
          <w:p w14:paraId="5CFAB034" w14:textId="77777777" w:rsidR="00BF2D5B" w:rsidRPr="00BF2D5B" w:rsidRDefault="00A01A98" w:rsidP="00BF2D5B">
            <w:pPr>
              <w:pStyle w:val="Titre1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Comprendre et défendre la cohérence du système de Sécurité sociale du XXI </w:t>
            </w:r>
            <w:proofErr w:type="spellStart"/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ème</w:t>
            </w:r>
            <w:proofErr w:type="spellEnd"/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siècle que la CGT défend. </w:t>
            </w:r>
          </w:p>
          <w:p w14:paraId="5D5489BD" w14:textId="77777777" w:rsidR="00BF2D5B" w:rsidRPr="00BF2D5B" w:rsidRDefault="00BF2D5B" w:rsidP="00BF2D5B">
            <w:pPr>
              <w:pStyle w:val="Titre1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Comprendre et défendre l’intérêt de la Sécurité sociale comme outil de la syndicalisation. </w:t>
            </w:r>
          </w:p>
          <w:p w14:paraId="5BF08EFB" w14:textId="2D98E34B" w:rsidR="00A01A98" w:rsidRPr="00BF2D5B" w:rsidRDefault="00A01A98" w:rsidP="00BF2D5B">
            <w:pPr>
              <w:pStyle w:val="Titre1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Co-construire un kit d’action de reconquête pour les territoires.</w:t>
            </w:r>
            <w:r w:rsidR="00BF2D5B"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  <w:r w:rsidRPr="00BF2D5B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Construite un réseau un réseau de personnes investies et capables de porter des actions sur ces questions sur le territoire.</w:t>
            </w:r>
          </w:p>
          <w:p w14:paraId="51FD1FF1" w14:textId="77777777" w:rsidR="00A01A98" w:rsidRPr="00A01A98" w:rsidRDefault="00A01A98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9B22EAA" w14:textId="41EA3B98" w:rsidR="00DE0E1A" w:rsidRPr="00A01A98" w:rsidRDefault="00DE0E1A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Les thèmes abordés :</w:t>
            </w:r>
          </w:p>
          <w:p w14:paraId="29DA7D42" w14:textId="3945723F" w:rsidR="00A01A98" w:rsidRPr="00A01A98" w:rsidRDefault="00A01A98" w:rsidP="00A01A98">
            <w:pPr>
              <w:pStyle w:val="Titre1"/>
              <w:ind w:left="0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bookmarkStart w:id="1" w:name="_Toc68772749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Thème 1. Architecture de la protection sociale et principes politiques des organisations de la protection sociale</w:t>
            </w:r>
            <w:bookmarkEnd w:id="1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022D8A73" w14:textId="44173075" w:rsidR="00A01A98" w:rsidRPr="00A01A98" w:rsidRDefault="00A01A98" w:rsidP="00A01A98">
            <w:pPr>
              <w:pStyle w:val="Titre1"/>
              <w:ind w:left="0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bookmarkStart w:id="2" w:name="_Toc68772785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Thème 3. Casser la démocratie sociale, privatiser les gains</w:t>
            </w:r>
            <w:r w:rsidR="00F525DF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,</w:t>
            </w:r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et socialiser les mauvais risques </w:t>
            </w:r>
            <w:bookmarkEnd w:id="2"/>
          </w:p>
          <w:p w14:paraId="7CC1BC48" w14:textId="45DAABF7" w:rsidR="00A01A98" w:rsidRPr="00A01A98" w:rsidRDefault="00A01A98" w:rsidP="00A01A98">
            <w:pPr>
              <w:pStyle w:val="Titre1"/>
              <w:ind w:left="0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bookmarkStart w:id="3" w:name="_Toc68772792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Thème 4.  Un programme cohérent, émancipateur et durable, celui de la </w:t>
            </w:r>
            <w:bookmarkEnd w:id="3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CGT</w:t>
            </w:r>
          </w:p>
          <w:p w14:paraId="5EEFB622" w14:textId="40CC60E9" w:rsidR="00A01A98" w:rsidRPr="00A01A98" w:rsidRDefault="00A01A98" w:rsidP="00A01A98">
            <w:pPr>
              <w:pStyle w:val="Titre1"/>
              <w:ind w:left="0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bookmarkStart w:id="4" w:name="_Toc68772807"/>
            <w:proofErr w:type="spellStart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lastRenderedPageBreak/>
              <w:t>Theme</w:t>
            </w:r>
            <w:proofErr w:type="spellEnd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5. Débat, construction d’un kit outil</w:t>
            </w:r>
            <w:bookmarkEnd w:id="4"/>
            <w:r w:rsidRPr="00A01A98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  </w:t>
            </w:r>
          </w:p>
          <w:p w14:paraId="61151E05" w14:textId="77777777" w:rsidR="00A01A98" w:rsidRPr="00A01A98" w:rsidRDefault="00A01A98" w:rsidP="004637CD">
            <w:pPr>
              <w:rPr>
                <w:rFonts w:asciiTheme="majorHAnsi" w:hAnsiTheme="majorHAnsi" w:cstheme="majorHAnsi"/>
              </w:rPr>
            </w:pPr>
          </w:p>
          <w:p w14:paraId="5020E2A2" w14:textId="77777777" w:rsidR="00DE0E1A" w:rsidRPr="00A01A98" w:rsidRDefault="00DE0E1A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Les prérequis à cette formation :</w:t>
            </w:r>
          </w:p>
          <w:p w14:paraId="4C6243B1" w14:textId="769D4E45" w:rsidR="00B26984" w:rsidRPr="00207BB5" w:rsidRDefault="00207BB5" w:rsidP="00207BB5">
            <w:pPr>
              <w:autoSpaceDE/>
              <w:autoSpaceDN/>
              <w:adjustRightInd/>
              <w:jc w:val="left"/>
              <w:rPr>
                <w:lang w:eastAsia="fr-FR"/>
              </w:rPr>
            </w:pPr>
            <w:r w:rsidRPr="00027B6D">
              <w:rPr>
                <w:rFonts w:asciiTheme="majorHAnsi" w:hAnsiTheme="majorHAnsi" w:cstheme="majorHAnsi"/>
                <w:sz w:val="22"/>
                <w:szCs w:val="22"/>
              </w:rPr>
              <w:t>S'impliquer dans la CGT</w:t>
            </w:r>
            <w:r w:rsidRPr="00207BB5">
              <w:rPr>
                <w:rFonts w:asciiTheme="majorHAnsi" w:hAnsiTheme="majorHAnsi" w:cstheme="majorHAnsi"/>
              </w:rPr>
              <w:t xml:space="preserve"> et </w:t>
            </w:r>
            <w:r w:rsidR="00A01A98" w:rsidRPr="00207BB5">
              <w:rPr>
                <w:rFonts w:asciiTheme="majorHAnsi" w:hAnsiTheme="majorHAnsi" w:cstheme="majorHAnsi"/>
                <w:sz w:val="22"/>
              </w:rPr>
              <w:t>avoir</w:t>
            </w:r>
            <w:r w:rsidR="00A01A98" w:rsidRPr="00A01A98">
              <w:rPr>
                <w:rFonts w:asciiTheme="majorHAnsi" w:hAnsiTheme="majorHAnsi" w:cstheme="majorHAnsi"/>
                <w:sz w:val="22"/>
              </w:rPr>
              <w:t xml:space="preserve"> une envie de reconquérir la Sécurité sociale ! </w:t>
            </w:r>
          </w:p>
          <w:p w14:paraId="188A4500" w14:textId="77777777" w:rsidR="00A01A98" w:rsidRPr="00A01A98" w:rsidRDefault="00A01A98" w:rsidP="004637CD">
            <w:pPr>
              <w:rPr>
                <w:rFonts w:asciiTheme="majorHAnsi" w:hAnsiTheme="majorHAnsi" w:cstheme="majorHAnsi"/>
                <w:sz w:val="22"/>
              </w:rPr>
            </w:pPr>
          </w:p>
          <w:p w14:paraId="70CBBE7B" w14:textId="61AA4B08" w:rsidR="00DE0E1A" w:rsidRPr="00A01A98" w:rsidRDefault="00A01A98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Exercices prévus</w:t>
            </w:r>
            <w:r w:rsidR="00DE0E1A"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 :</w:t>
            </w:r>
          </w:p>
          <w:p w14:paraId="53576513" w14:textId="14A3FAAA" w:rsidR="004637CD" w:rsidRPr="00A01A98" w:rsidRDefault="00A01A98" w:rsidP="00EC0AEF">
            <w:pPr>
              <w:pStyle w:val="Corpsdetexte"/>
              <w:spacing w:after="0"/>
              <w:jc w:val="both"/>
              <w:rPr>
                <w:rFonts w:asciiTheme="majorHAnsi" w:hAnsiTheme="majorHAnsi" w:cstheme="majorHAnsi"/>
                <w:sz w:val="22"/>
              </w:rPr>
            </w:pPr>
            <w:r w:rsidRPr="00A01A98">
              <w:rPr>
                <w:rFonts w:asciiTheme="majorHAnsi" w:hAnsiTheme="majorHAnsi" w:cstheme="majorHAnsi"/>
                <w:sz w:val="22"/>
              </w:rPr>
              <w:t>E</w:t>
            </w:r>
            <w:r w:rsidR="004637CD" w:rsidRPr="00A01A98">
              <w:rPr>
                <w:rFonts w:asciiTheme="majorHAnsi" w:hAnsiTheme="majorHAnsi" w:cstheme="majorHAnsi"/>
                <w:sz w:val="22"/>
              </w:rPr>
              <w:t>xercices et mises en situations</w:t>
            </w:r>
            <w:r w:rsidRPr="00A01A98">
              <w:rPr>
                <w:rFonts w:asciiTheme="majorHAnsi" w:hAnsiTheme="majorHAnsi" w:cstheme="majorHAnsi"/>
                <w:sz w:val="22"/>
              </w:rPr>
              <w:t xml:space="preserve"> au cours du stage. </w:t>
            </w:r>
          </w:p>
          <w:p w14:paraId="0D66C141" w14:textId="60D83FD8" w:rsidR="00DE0E1A" w:rsidRPr="00A01A98" w:rsidRDefault="00A01A98" w:rsidP="00EC0AEF">
            <w:pPr>
              <w:rPr>
                <w:rFonts w:asciiTheme="majorHAnsi" w:hAnsiTheme="majorHAnsi" w:cstheme="majorHAnsi"/>
              </w:rPr>
            </w:pPr>
            <w:r w:rsidRPr="00A01A98">
              <w:rPr>
                <w:rFonts w:asciiTheme="majorHAnsi" w:hAnsiTheme="majorHAnsi" w:cstheme="majorHAnsi"/>
              </w:rPr>
              <w:t xml:space="preserve">Construction d’action sur le territoire autour de la Sécurité sociale, avec le soutien du pôle reconquête de la Sécurité sociale. </w:t>
            </w:r>
          </w:p>
          <w:p w14:paraId="6316378E" w14:textId="042F666C" w:rsidR="00A01A98" w:rsidRPr="00A01A98" w:rsidRDefault="00A01A98" w:rsidP="00EC0AEF">
            <w:pPr>
              <w:rPr>
                <w:rFonts w:asciiTheme="majorHAnsi" w:hAnsiTheme="majorHAnsi" w:cstheme="majorHAnsi"/>
              </w:rPr>
            </w:pPr>
            <w:r w:rsidRPr="00A01A98">
              <w:rPr>
                <w:rFonts w:asciiTheme="majorHAnsi" w:hAnsiTheme="majorHAnsi" w:cstheme="majorHAnsi"/>
              </w:rPr>
              <w:t>Participation sur le long terme au réseau sécu de la CGT</w:t>
            </w:r>
          </w:p>
          <w:p w14:paraId="1E37E1A5" w14:textId="77777777" w:rsidR="00A01A98" w:rsidRPr="00A01A98" w:rsidRDefault="00A01A98" w:rsidP="00EC0AEF">
            <w:pPr>
              <w:rPr>
                <w:rFonts w:asciiTheme="majorHAnsi" w:hAnsiTheme="majorHAnsi" w:cstheme="majorHAnsi"/>
              </w:rPr>
            </w:pPr>
          </w:p>
          <w:p w14:paraId="3A108E2A" w14:textId="77777777" w:rsidR="00DE0E1A" w:rsidRPr="00A01A98" w:rsidRDefault="00DE0E1A" w:rsidP="008E7EF7">
            <w:pPr>
              <w:pStyle w:val="Titre1"/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01A9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A2A81D4" w14:textId="6350DBDA" w:rsidR="00DE0E1A" w:rsidRPr="00B27AB7" w:rsidRDefault="004637CD" w:rsidP="00B27AB7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  <w:rPr>
                <w:rFonts w:asciiTheme="majorHAnsi" w:hAnsiTheme="majorHAnsi" w:cstheme="majorHAnsi"/>
                <w:sz w:val="22"/>
              </w:rPr>
            </w:pPr>
            <w:r w:rsidRPr="00A01A98">
              <w:rPr>
                <w:rFonts w:asciiTheme="majorHAnsi" w:hAnsiTheme="majorHAnsi" w:cstheme="majorHAnsi"/>
                <w:sz w:val="22"/>
              </w:rPr>
              <w:t xml:space="preserve">Stage de 5 jours du </w:t>
            </w:r>
            <w:r w:rsidR="00A01A98" w:rsidRPr="00A01A98">
              <w:rPr>
                <w:rFonts w:asciiTheme="majorHAnsi" w:hAnsiTheme="majorHAnsi" w:cstheme="majorHAnsi"/>
                <w:sz w:val="22"/>
              </w:rPr>
              <w:t>07</w:t>
            </w:r>
            <w:r w:rsidR="002924D3" w:rsidRPr="00A01A98">
              <w:rPr>
                <w:rFonts w:asciiTheme="majorHAnsi" w:hAnsiTheme="majorHAnsi" w:cstheme="majorHAnsi"/>
                <w:sz w:val="22"/>
              </w:rPr>
              <w:t xml:space="preserve">/06/2021 au </w:t>
            </w:r>
            <w:r w:rsidR="00A01A98" w:rsidRPr="00A01A98">
              <w:rPr>
                <w:rFonts w:asciiTheme="majorHAnsi" w:hAnsiTheme="majorHAnsi" w:cstheme="majorHAnsi"/>
                <w:sz w:val="22"/>
              </w:rPr>
              <w:t>11</w:t>
            </w:r>
            <w:r w:rsidR="002924D3" w:rsidRPr="00A01A98">
              <w:rPr>
                <w:rFonts w:asciiTheme="majorHAnsi" w:hAnsiTheme="majorHAnsi" w:cstheme="majorHAnsi"/>
                <w:sz w:val="22"/>
              </w:rPr>
              <w:t>/0</w:t>
            </w:r>
            <w:r w:rsidR="00A01A98" w:rsidRPr="00A01A98">
              <w:rPr>
                <w:rFonts w:asciiTheme="majorHAnsi" w:hAnsiTheme="majorHAnsi" w:cstheme="majorHAnsi"/>
                <w:sz w:val="22"/>
              </w:rPr>
              <w:t>6</w:t>
            </w:r>
            <w:r w:rsidR="002924D3" w:rsidRPr="00A01A98">
              <w:rPr>
                <w:rFonts w:asciiTheme="majorHAnsi" w:hAnsiTheme="majorHAnsi" w:cstheme="majorHAnsi"/>
                <w:sz w:val="22"/>
              </w:rPr>
              <w:t>/2021</w:t>
            </w:r>
            <w:r w:rsidR="00B00552" w:rsidRPr="00A01A98">
              <w:rPr>
                <w:rFonts w:asciiTheme="majorHAnsi" w:hAnsiTheme="majorHAnsi" w:cstheme="majorHAnsi"/>
                <w:sz w:val="22"/>
              </w:rPr>
              <w:t>,</w:t>
            </w:r>
            <w:r w:rsidRPr="00A01A98">
              <w:rPr>
                <w:rFonts w:asciiTheme="majorHAnsi" w:hAnsiTheme="majorHAnsi" w:cstheme="majorHAnsi"/>
                <w:sz w:val="22"/>
              </w:rPr>
              <w:t xml:space="preserve"> au Centre confédéral de </w:t>
            </w:r>
            <w:r w:rsidR="00B00552" w:rsidRPr="00A01A98">
              <w:rPr>
                <w:rFonts w:asciiTheme="majorHAnsi" w:hAnsiTheme="majorHAnsi" w:cstheme="majorHAnsi"/>
                <w:sz w:val="22"/>
              </w:rPr>
              <w:t>formation</w:t>
            </w:r>
            <w:r w:rsidR="00B27AB7">
              <w:rPr>
                <w:rFonts w:asciiTheme="majorHAnsi" w:hAnsiTheme="majorHAnsi" w:cstheme="majorHAnsi"/>
                <w:sz w:val="22"/>
              </w:rPr>
              <w:t xml:space="preserve"> s</w:t>
            </w:r>
            <w:r w:rsidR="00B27AB7" w:rsidRPr="00B27AB7">
              <w:rPr>
                <w:rFonts w:asciiTheme="majorHAnsi" w:hAnsiTheme="majorHAnsi" w:cstheme="majorHAnsi"/>
                <w:sz w:val="22"/>
              </w:rPr>
              <w:t>yndicale</w:t>
            </w:r>
            <w:r w:rsidRPr="00B27AB7">
              <w:rPr>
                <w:rFonts w:asciiTheme="majorHAnsi" w:hAnsiTheme="majorHAnsi" w:cstheme="majorHAnsi"/>
                <w:sz w:val="22"/>
              </w:rPr>
              <w:t xml:space="preserve"> Benoît Frachon à </w:t>
            </w:r>
            <w:proofErr w:type="spellStart"/>
            <w:r w:rsidRPr="00B27AB7">
              <w:rPr>
                <w:rFonts w:asciiTheme="majorHAnsi" w:hAnsiTheme="majorHAnsi" w:cstheme="majorHAnsi"/>
                <w:sz w:val="22"/>
              </w:rPr>
              <w:t>Courcelle</w:t>
            </w:r>
            <w:proofErr w:type="spellEnd"/>
            <w:r w:rsidRPr="00B27AB7">
              <w:rPr>
                <w:rFonts w:asciiTheme="majorHAnsi" w:hAnsiTheme="majorHAnsi" w:cstheme="majorHAnsi"/>
                <w:sz w:val="22"/>
              </w:rPr>
              <w:t>-sur-Yvette.</w:t>
            </w:r>
          </w:p>
          <w:p w14:paraId="7A10A733" w14:textId="4C56CB65" w:rsidR="00DE0E1A" w:rsidRPr="00A01A98" w:rsidRDefault="00DE0E1A" w:rsidP="00A01A98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  <w:rPr>
                <w:rFonts w:asciiTheme="majorHAnsi" w:hAnsiTheme="majorHAnsi" w:cstheme="majorHAnsi"/>
              </w:rPr>
            </w:pPr>
            <w:proofErr w:type="spellStart"/>
            <w:r w:rsidRPr="00A01A98">
              <w:rPr>
                <w:rFonts w:asciiTheme="majorHAnsi" w:hAnsiTheme="majorHAnsi" w:cstheme="majorHAnsi"/>
                <w:sz w:val="22"/>
              </w:rPr>
              <w:t>Animateur.rice.s</w:t>
            </w:r>
            <w:proofErr w:type="spellEnd"/>
            <w:r w:rsidRPr="00A01A98">
              <w:rPr>
                <w:rFonts w:asciiTheme="majorHAnsi" w:hAnsiTheme="majorHAnsi" w:cstheme="majorHAnsi"/>
                <w:sz w:val="22"/>
              </w:rPr>
              <w:t> :</w:t>
            </w:r>
            <w:r w:rsidR="002924D3" w:rsidRPr="00A01A98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01A98" w:rsidRPr="00A01A98">
              <w:rPr>
                <w:rFonts w:asciiTheme="majorHAnsi" w:hAnsiTheme="majorHAnsi" w:cstheme="majorHAnsi"/>
                <w:sz w:val="22"/>
              </w:rPr>
              <w:t xml:space="preserve">Fabienne </w:t>
            </w:r>
            <w:proofErr w:type="spellStart"/>
            <w:r w:rsidR="00A01A98" w:rsidRPr="00A01A98">
              <w:rPr>
                <w:rFonts w:asciiTheme="majorHAnsi" w:hAnsiTheme="majorHAnsi" w:cstheme="majorHAnsi"/>
                <w:sz w:val="22"/>
              </w:rPr>
              <w:t>Clamens</w:t>
            </w:r>
            <w:proofErr w:type="spellEnd"/>
            <w:r w:rsidR="00A01A98" w:rsidRPr="00A01A98">
              <w:rPr>
                <w:rFonts w:asciiTheme="majorHAnsi" w:hAnsiTheme="majorHAnsi" w:cstheme="majorHAnsi"/>
                <w:sz w:val="22"/>
              </w:rPr>
              <w:t xml:space="preserve"> et </w:t>
            </w:r>
            <w:proofErr w:type="spellStart"/>
            <w:r w:rsidR="00A01A98" w:rsidRPr="00A01A98">
              <w:rPr>
                <w:rFonts w:asciiTheme="majorHAnsi" w:hAnsiTheme="majorHAnsi" w:cstheme="majorHAnsi"/>
                <w:sz w:val="22"/>
              </w:rPr>
              <w:t>Ilona</w:t>
            </w:r>
            <w:proofErr w:type="spellEnd"/>
            <w:r w:rsidR="00A01A98" w:rsidRPr="00A01A98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="00A01A98" w:rsidRPr="00A01A98">
              <w:rPr>
                <w:rFonts w:asciiTheme="majorHAnsi" w:hAnsiTheme="majorHAnsi" w:cstheme="majorHAnsi"/>
                <w:sz w:val="22"/>
              </w:rPr>
              <w:t>Delouette</w:t>
            </w:r>
            <w:proofErr w:type="spellEnd"/>
            <w:r w:rsidR="00A01A98" w:rsidRPr="00A01A98">
              <w:rPr>
                <w:rFonts w:asciiTheme="majorHAnsi" w:hAnsiTheme="majorHAnsi" w:cstheme="majorHAnsi"/>
                <w:sz w:val="22"/>
              </w:rPr>
              <w:t xml:space="preserve"> + conseillers </w:t>
            </w:r>
            <w:r w:rsidR="001B3A74" w:rsidRPr="00A01A98">
              <w:rPr>
                <w:rFonts w:asciiTheme="majorHAnsi" w:hAnsiTheme="majorHAnsi" w:cstheme="majorHAnsi"/>
                <w:sz w:val="22"/>
              </w:rPr>
              <w:t>du pôle</w:t>
            </w:r>
            <w:r w:rsidR="00A01A98" w:rsidRPr="00A01A98">
              <w:rPr>
                <w:rFonts w:asciiTheme="majorHAnsi" w:hAnsiTheme="majorHAnsi" w:cstheme="majorHAnsi"/>
                <w:sz w:val="22"/>
              </w:rPr>
              <w:t xml:space="preserve"> Sécu</w:t>
            </w:r>
          </w:p>
        </w:tc>
      </w:tr>
      <w:tr w:rsidR="00DE0E1A" w:rsidRPr="00A01A98" w14:paraId="31B92E81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EB49B5E" w14:textId="77777777" w:rsidR="00DE0E1A" w:rsidRPr="00A01A98" w:rsidRDefault="00DE0E1A" w:rsidP="00EC4EF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2839DE09" w14:textId="77777777" w:rsidR="00DE0E1A" w:rsidRPr="00A01A98" w:rsidRDefault="00DE0E1A" w:rsidP="00E63CDE">
      <w:pPr>
        <w:rPr>
          <w:rFonts w:asciiTheme="majorHAnsi" w:hAnsiTheme="majorHAnsi" w:cstheme="majorHAnsi"/>
        </w:rPr>
      </w:pPr>
    </w:p>
    <w:sectPr w:rsidR="00DE0E1A" w:rsidRPr="00A01A98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7649" w14:textId="77777777" w:rsidR="00A42EF3" w:rsidRDefault="00A42EF3" w:rsidP="00233632">
      <w:r>
        <w:separator/>
      </w:r>
    </w:p>
  </w:endnote>
  <w:endnote w:type="continuationSeparator" w:id="0">
    <w:p w14:paraId="5A33D0BA" w14:textId="77777777" w:rsidR="00A42EF3" w:rsidRDefault="00A42EF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E4DF" w14:textId="77777777" w:rsidR="00B03542" w:rsidRDefault="009601CD" w:rsidP="00B03542">
    <w:pPr>
      <w:pStyle w:val="En-tte"/>
    </w:pPr>
    <w:r>
      <w:ptab w:relativeTo="margin" w:alignment="right" w:leader="none"/>
    </w:r>
  </w:p>
  <w:p w14:paraId="35A5024C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1655FBCC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3D4B7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3D4B7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7BA980F2" w14:textId="77777777"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4489" w14:textId="77777777" w:rsidR="00A42EF3" w:rsidRDefault="00A42EF3" w:rsidP="00233632">
      <w:r>
        <w:separator/>
      </w:r>
    </w:p>
  </w:footnote>
  <w:footnote w:type="continuationSeparator" w:id="0">
    <w:p w14:paraId="0639AF58" w14:textId="77777777" w:rsidR="00A42EF3" w:rsidRDefault="00A42EF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DA8"/>
    <w:multiLevelType w:val="hybridMultilevel"/>
    <w:tmpl w:val="9B2C8900"/>
    <w:lvl w:ilvl="0" w:tplc="86CCAD7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606DC"/>
    <w:multiLevelType w:val="hybridMultilevel"/>
    <w:tmpl w:val="E90885C2"/>
    <w:lvl w:ilvl="0" w:tplc="706C6E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977499D"/>
    <w:multiLevelType w:val="hybridMultilevel"/>
    <w:tmpl w:val="18AE1C98"/>
    <w:lvl w:ilvl="0" w:tplc="B32C3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7B6D"/>
    <w:rsid w:val="00035546"/>
    <w:rsid w:val="0005509E"/>
    <w:rsid w:val="00063A41"/>
    <w:rsid w:val="000721F9"/>
    <w:rsid w:val="00087894"/>
    <w:rsid w:val="000A3348"/>
    <w:rsid w:val="000B31CA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B3A74"/>
    <w:rsid w:val="001D4519"/>
    <w:rsid w:val="001D59DE"/>
    <w:rsid w:val="001D617D"/>
    <w:rsid w:val="00207BB5"/>
    <w:rsid w:val="00233632"/>
    <w:rsid w:val="002378CE"/>
    <w:rsid w:val="002924D3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4B7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8328F"/>
    <w:rsid w:val="00584034"/>
    <w:rsid w:val="00596100"/>
    <w:rsid w:val="005D517A"/>
    <w:rsid w:val="005F58BA"/>
    <w:rsid w:val="00623D8E"/>
    <w:rsid w:val="006258B4"/>
    <w:rsid w:val="006448E6"/>
    <w:rsid w:val="006561B3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11594"/>
    <w:rsid w:val="00841B72"/>
    <w:rsid w:val="008713C8"/>
    <w:rsid w:val="00877270"/>
    <w:rsid w:val="00877C49"/>
    <w:rsid w:val="008A18A0"/>
    <w:rsid w:val="008C2421"/>
    <w:rsid w:val="008C5BE4"/>
    <w:rsid w:val="008E7EF7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67ED5"/>
    <w:rsid w:val="00974828"/>
    <w:rsid w:val="00990E26"/>
    <w:rsid w:val="009A679B"/>
    <w:rsid w:val="009A745A"/>
    <w:rsid w:val="009E1A33"/>
    <w:rsid w:val="009F0A0A"/>
    <w:rsid w:val="00A01A98"/>
    <w:rsid w:val="00A102D3"/>
    <w:rsid w:val="00A34CFF"/>
    <w:rsid w:val="00A36047"/>
    <w:rsid w:val="00A42EF3"/>
    <w:rsid w:val="00A45B5D"/>
    <w:rsid w:val="00A55FC2"/>
    <w:rsid w:val="00A804A0"/>
    <w:rsid w:val="00A83EBD"/>
    <w:rsid w:val="00B00552"/>
    <w:rsid w:val="00B03542"/>
    <w:rsid w:val="00B26984"/>
    <w:rsid w:val="00B27584"/>
    <w:rsid w:val="00B27AB7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D5B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2EFA"/>
    <w:rsid w:val="00CD6220"/>
    <w:rsid w:val="00CF59CC"/>
    <w:rsid w:val="00D039DB"/>
    <w:rsid w:val="00D13585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2DC0"/>
    <w:rsid w:val="00DF341D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525DF"/>
    <w:rsid w:val="00F60E7B"/>
    <w:rsid w:val="00F83C6A"/>
    <w:rsid w:val="00F91CCE"/>
    <w:rsid w:val="00F92878"/>
    <w:rsid w:val="00FA3ED9"/>
    <w:rsid w:val="00FB1124"/>
    <w:rsid w:val="00FC0B61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4610EF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5F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F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5FC2"/>
    <w:rPr>
      <w:rFonts w:ascii="Times New Roman" w:eastAsia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F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FC2"/>
    <w:rPr>
      <w:rFonts w:ascii="Times New Roman" w:eastAsia="Times New Roman" w:hAnsi="Times New Roman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01A98"/>
    <w:pPr>
      <w:autoSpaceDE/>
      <w:autoSpaceDN/>
      <w:adjustRightInd/>
      <w:spacing w:before="360" w:after="360"/>
      <w:jc w:val="left"/>
    </w:pPr>
    <w:rPr>
      <w:rFonts w:asciiTheme="minorHAnsi" w:eastAsiaTheme="minorHAnsi" w:hAnsiTheme="minorHAnsi" w:cstheme="minorBidi"/>
      <w:b/>
      <w:bCs/>
      <w:caps/>
      <w:sz w:val="22"/>
      <w:szCs w:val="2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1A9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alyses-propositions.cgt.fr/sante-sec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D323-04A5-479D-9FD5-1DABD2D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2021-05-04T13:41:00Z</dcterms:created>
  <dcterms:modified xsi:type="dcterms:W3CDTF">2021-05-04T13:42:00Z</dcterms:modified>
</cp:coreProperties>
</file>